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2C" w:rsidRPr="005C1215" w:rsidRDefault="00E8162C" w:rsidP="00E8162C">
      <w:pPr>
        <w:pStyle w:val="Heading1"/>
        <w:rPr>
          <w:lang w:val="ru-RU"/>
        </w:rPr>
      </w:pPr>
      <w:r>
        <w:rPr>
          <w:lang w:val="ru-RU"/>
        </w:rPr>
        <w:t>Общие требования АО «Тойота Банк» к условиям страхования жизни и здоровья зае</w:t>
      </w:r>
      <w:r w:rsidR="007D4C54">
        <w:rPr>
          <w:lang w:val="ru-RU"/>
        </w:rPr>
        <w:t>м</w:t>
      </w:r>
      <w:r>
        <w:rPr>
          <w:lang w:val="ru-RU"/>
        </w:rPr>
        <w:t>щиков Банка в рамках розничного кредитования</w:t>
      </w:r>
    </w:p>
    <w:p w:rsidR="00E8162C" w:rsidRPr="005C1215" w:rsidRDefault="00E8162C" w:rsidP="00E816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ind w:left="357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 xml:space="preserve">Настоящие общие требования (далее – </w:t>
      </w:r>
      <w:r w:rsidRPr="005C1215">
        <w:rPr>
          <w:rFonts w:cs="Arial"/>
          <w:b/>
          <w:szCs w:val="22"/>
          <w:lang w:val="ru-RU"/>
        </w:rPr>
        <w:t>Требования</w:t>
      </w:r>
      <w:r w:rsidRPr="005C1215">
        <w:rPr>
          <w:rFonts w:cs="Arial"/>
          <w:szCs w:val="22"/>
          <w:lang w:val="ru-RU"/>
        </w:rPr>
        <w:t xml:space="preserve">) АО «Тойота Банк» (далее - </w:t>
      </w:r>
      <w:r w:rsidRPr="005C1215">
        <w:rPr>
          <w:rFonts w:cs="Arial"/>
          <w:b/>
          <w:szCs w:val="22"/>
          <w:lang w:val="ru-RU"/>
        </w:rPr>
        <w:t>Банк</w:t>
      </w:r>
      <w:r w:rsidRPr="005C1215">
        <w:rPr>
          <w:rFonts w:cs="Arial"/>
          <w:szCs w:val="22"/>
          <w:lang w:val="ru-RU"/>
        </w:rPr>
        <w:t xml:space="preserve">) к условиям страхования жизни и здоровья заемщиков Банка распространяются на договоры (далее – </w:t>
      </w:r>
      <w:r w:rsidRPr="005C1215">
        <w:rPr>
          <w:rFonts w:cs="Arial"/>
          <w:b/>
          <w:szCs w:val="22"/>
          <w:lang w:val="ru-RU"/>
        </w:rPr>
        <w:t>Договор страхования жизни</w:t>
      </w:r>
      <w:r w:rsidRPr="005C1215">
        <w:rPr>
          <w:rFonts w:cs="Arial"/>
          <w:szCs w:val="22"/>
          <w:lang w:val="ru-RU"/>
        </w:rPr>
        <w:t>) добровольного страхования жизни и здоровья заемщиков Банка, заключаемые клиентами Банка – физическими лицами в соответствии с обязательствами, о</w:t>
      </w:r>
      <w:bookmarkStart w:id="0" w:name="_GoBack"/>
      <w:bookmarkEnd w:id="0"/>
      <w:r w:rsidRPr="005C1215">
        <w:rPr>
          <w:rFonts w:cs="Arial"/>
          <w:szCs w:val="22"/>
          <w:lang w:val="ru-RU"/>
        </w:rPr>
        <w:t>пределяемыми кредитными договорами между Заемщиками и Банком в рамках розничного кредитования (кредитования физических лиц на покупку автомобилей).</w:t>
      </w:r>
      <w:r w:rsidRPr="005C1215">
        <w:rPr>
          <w:rStyle w:val="FootnoteReference"/>
          <w:rFonts w:cs="Arial"/>
          <w:szCs w:val="22"/>
          <w:lang w:val="ru-RU"/>
        </w:rPr>
        <w:footnoteReference w:id="1"/>
      </w:r>
    </w:p>
    <w:p w:rsidR="00E8162C" w:rsidRPr="005C1215" w:rsidRDefault="00E8162C" w:rsidP="00E816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ind w:left="357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 xml:space="preserve">Под Кредитным договором (далее – </w:t>
      </w:r>
      <w:r w:rsidRPr="005C1215">
        <w:rPr>
          <w:rFonts w:cs="Arial"/>
          <w:b/>
          <w:szCs w:val="22"/>
          <w:lang w:val="ru-RU"/>
        </w:rPr>
        <w:t>Кредитный договор</w:t>
      </w:r>
      <w:r w:rsidRPr="005C1215">
        <w:rPr>
          <w:rFonts w:cs="Arial"/>
          <w:szCs w:val="22"/>
          <w:lang w:val="ru-RU"/>
        </w:rPr>
        <w:t>) понимается кредитный договор между Заемщиком (Страхователем) и Банком о предоставлении кредита в целях приобретения Транспортного средства</w:t>
      </w:r>
      <w:r>
        <w:rPr>
          <w:rFonts w:cs="Arial"/>
          <w:szCs w:val="22"/>
          <w:lang w:val="ru-RU"/>
        </w:rPr>
        <w:t>,</w:t>
      </w:r>
      <w:r w:rsidRPr="005C1215">
        <w:rPr>
          <w:rFonts w:cs="Arial"/>
          <w:szCs w:val="22"/>
          <w:lang w:val="ru-RU"/>
        </w:rPr>
        <w:t xml:space="preserve"> в рамках которого устанавливается сниженная процентная ставка по кредиту в случае оформления Договора страхования жизни.</w:t>
      </w:r>
    </w:p>
    <w:p w:rsidR="00E8162C" w:rsidRPr="005C1215" w:rsidRDefault="00E8162C" w:rsidP="00E816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ind w:left="357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В зависимости от вида кредитной программы страхование жизни может быть оформлено по Программе страхования жизни №1 или №2. В рамках указанных программ должны быть застрахованы следующие риски:</w:t>
      </w:r>
    </w:p>
    <w:p w:rsidR="00E8162C" w:rsidRPr="005C1215" w:rsidRDefault="00E8162C" w:rsidP="00E8162C">
      <w:pPr>
        <w:pStyle w:val="ListParagraph"/>
        <w:autoSpaceDE w:val="0"/>
        <w:autoSpaceDN w:val="0"/>
        <w:adjustRightInd w:val="0"/>
        <w:spacing w:before="240"/>
        <w:ind w:left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3.1. Для Программы страхования жизни №1</w:t>
      </w:r>
    </w:p>
    <w:p w:rsidR="00E8162C" w:rsidRPr="005C1215" w:rsidRDefault="00E8162C" w:rsidP="00E8162C">
      <w:pPr>
        <w:pStyle w:val="ListParagraph"/>
        <w:autoSpaceDE w:val="0"/>
        <w:autoSpaceDN w:val="0"/>
        <w:adjustRightInd w:val="0"/>
        <w:spacing w:before="240"/>
        <w:ind w:left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-«Смерть Застрахованного лица в результате несчастного случая или болезни»</w:t>
      </w:r>
    </w:p>
    <w:p w:rsidR="00E8162C" w:rsidRPr="005C1215" w:rsidRDefault="00E8162C" w:rsidP="00E8162C">
      <w:pPr>
        <w:pStyle w:val="ListParagraph"/>
        <w:autoSpaceDE w:val="0"/>
        <w:autoSpaceDN w:val="0"/>
        <w:adjustRightInd w:val="0"/>
        <w:spacing w:before="240"/>
        <w:ind w:left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-«Установление Застрахованному инвалидности I, II группы» или «Постоянная полная нетрудоспособность Застрахованного лица в результате несчастного случая или болезни (инвалидность I группы)»</w:t>
      </w:r>
    </w:p>
    <w:p w:rsidR="00E8162C" w:rsidRPr="005C1215" w:rsidRDefault="00E8162C" w:rsidP="00E8162C">
      <w:pPr>
        <w:pStyle w:val="ListParagraph"/>
        <w:autoSpaceDE w:val="0"/>
        <w:autoSpaceDN w:val="0"/>
        <w:adjustRightInd w:val="0"/>
        <w:spacing w:before="240"/>
        <w:ind w:left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3.2. Для Программы страхования жизни №2</w:t>
      </w:r>
    </w:p>
    <w:p w:rsidR="00E8162C" w:rsidRPr="005C1215" w:rsidRDefault="00E8162C" w:rsidP="00E8162C">
      <w:pPr>
        <w:pStyle w:val="ListParagraph"/>
        <w:autoSpaceDE w:val="0"/>
        <w:autoSpaceDN w:val="0"/>
        <w:adjustRightInd w:val="0"/>
        <w:spacing w:before="240"/>
        <w:ind w:left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- «Смерть Застрахованного лица в результате несчастного случая или болезни»</w:t>
      </w:r>
    </w:p>
    <w:p w:rsidR="00E8162C" w:rsidRPr="005C1215" w:rsidRDefault="00E8162C" w:rsidP="00E8162C">
      <w:pPr>
        <w:pStyle w:val="ListParagraph"/>
        <w:autoSpaceDE w:val="0"/>
        <w:autoSpaceDN w:val="0"/>
        <w:adjustRightInd w:val="0"/>
        <w:spacing w:before="240"/>
        <w:ind w:left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-«Установление Застрахованному инвалидности I, II группы» или «Постоянная полная нетрудоспособность Застрахованного лица в результате несчастного случая или болезни (инвалидность I группы)»</w:t>
      </w:r>
    </w:p>
    <w:p w:rsidR="00E8162C" w:rsidRPr="005C1215" w:rsidRDefault="00E8162C" w:rsidP="00E8162C">
      <w:pPr>
        <w:pStyle w:val="ListParagraph"/>
        <w:autoSpaceDE w:val="0"/>
        <w:autoSpaceDN w:val="0"/>
        <w:adjustRightInd w:val="0"/>
        <w:spacing w:before="240"/>
        <w:ind w:left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- «Первичное диагностирование у Застрахованного смертельно опасных заболеваний и состояний»</w:t>
      </w:r>
    </w:p>
    <w:p w:rsidR="00E8162C" w:rsidRPr="005C1215" w:rsidRDefault="00E8162C" w:rsidP="00E816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ind w:left="357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Договором страхования должны быть определены нижеперечисленные участники и субъекты договора, которые должны удовлетворять следующим требованиям:</w:t>
      </w:r>
    </w:p>
    <w:p w:rsidR="00E8162C" w:rsidRPr="005C1215" w:rsidRDefault="00E8162C" w:rsidP="00E8162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/>
        <w:rPr>
          <w:rFonts w:cs="Arial"/>
          <w:szCs w:val="22"/>
          <w:lang w:val="ru-RU"/>
        </w:rPr>
      </w:pPr>
      <w:r w:rsidRPr="005C1215">
        <w:rPr>
          <w:rFonts w:cs="Arial"/>
          <w:b/>
          <w:szCs w:val="22"/>
          <w:lang w:val="ru-RU"/>
        </w:rPr>
        <w:t>Страхователь.</w:t>
      </w:r>
      <w:r w:rsidRPr="005C1215">
        <w:rPr>
          <w:rFonts w:cs="Arial"/>
          <w:szCs w:val="22"/>
          <w:lang w:val="ru-RU"/>
        </w:rPr>
        <w:t xml:space="preserve"> Страхователем должен являться Заемщик, заключающий или заключивший Кредитный договор с Банком.</w:t>
      </w:r>
    </w:p>
    <w:p w:rsidR="00E8162C" w:rsidRPr="005C1215" w:rsidRDefault="00E8162C" w:rsidP="00E8162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/>
        <w:rPr>
          <w:rFonts w:cs="Arial"/>
          <w:szCs w:val="22"/>
          <w:lang w:val="ru-RU"/>
        </w:rPr>
      </w:pPr>
      <w:r w:rsidRPr="005C1215">
        <w:rPr>
          <w:rFonts w:cs="Arial"/>
          <w:b/>
          <w:szCs w:val="22"/>
          <w:lang w:val="ru-RU"/>
        </w:rPr>
        <w:t>Страховщик.</w:t>
      </w:r>
      <w:r w:rsidRPr="005C1215">
        <w:rPr>
          <w:rFonts w:cs="Arial"/>
          <w:szCs w:val="22"/>
          <w:lang w:val="ru-RU"/>
        </w:rPr>
        <w:t xml:space="preserve"> Страховщиком может являться только Страховая компания, отвечающая «Требованиям Банка к финансовой устойчивости страховой компании».</w:t>
      </w:r>
      <w:r w:rsidRPr="005C1215">
        <w:rPr>
          <w:rStyle w:val="FootnoteReference"/>
          <w:rFonts w:cs="Arial"/>
          <w:szCs w:val="22"/>
          <w:lang w:val="ru-RU"/>
        </w:rPr>
        <w:footnoteReference w:id="2"/>
      </w:r>
    </w:p>
    <w:p w:rsidR="00E8162C" w:rsidRPr="005C1215" w:rsidRDefault="00E8162C" w:rsidP="00E8162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before="120"/>
        <w:rPr>
          <w:rFonts w:cs="Arial"/>
          <w:szCs w:val="22"/>
          <w:lang w:val="ru-RU"/>
        </w:rPr>
      </w:pPr>
      <w:r w:rsidRPr="005C1215">
        <w:rPr>
          <w:rFonts w:cs="Arial"/>
          <w:b/>
          <w:szCs w:val="22"/>
          <w:lang w:val="ru-RU"/>
        </w:rPr>
        <w:t>Выгодоприобретатель.</w:t>
      </w:r>
      <w:r w:rsidRPr="005C1215">
        <w:rPr>
          <w:rFonts w:cs="Arial"/>
          <w:szCs w:val="22"/>
          <w:lang w:val="ru-RU"/>
        </w:rPr>
        <w:t xml:space="preserve"> В соответствии с Договором страхования жизни:</w:t>
      </w:r>
    </w:p>
    <w:p w:rsidR="00E8162C" w:rsidRPr="005C1215" w:rsidRDefault="00E8162C" w:rsidP="00E8162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lastRenderedPageBreak/>
        <w:t>Застрахованное лицо либо его наследники в случае смерти Застрахованного лица.</w:t>
      </w:r>
    </w:p>
    <w:p w:rsidR="00E8162C" w:rsidRPr="005C1215" w:rsidRDefault="00E8162C" w:rsidP="00E816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  <w:ind w:left="357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Условия Договора страхования жизни о страховой сумме должны удовлетворять следующим требованиям:</w:t>
      </w:r>
    </w:p>
    <w:p w:rsidR="00E8162C" w:rsidRPr="005C1215" w:rsidRDefault="00E8162C" w:rsidP="00E816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Страховая сумма устанавливается в валюте, соответствующей валюте Кредитного договора;</w:t>
      </w:r>
    </w:p>
    <w:p w:rsidR="00E8162C" w:rsidRPr="005C1215" w:rsidRDefault="00E8162C" w:rsidP="00E816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 xml:space="preserve">На дату заключения договора страхования страховая сумма равна первоначальной сумме кредита по кредитному договору между Страхователем/Застрахованным лицом и Банком. Возможно ограничение по лимиту максимальной страховой суммы по всем или отдельным рискам. Лимит может быть установлен в размере не менее 3 </w:t>
      </w:r>
      <w:proofErr w:type="spellStart"/>
      <w:r w:rsidRPr="005C1215">
        <w:rPr>
          <w:rFonts w:cs="Arial"/>
          <w:szCs w:val="22"/>
          <w:lang w:val="ru-RU"/>
        </w:rPr>
        <w:t>млн.руб</w:t>
      </w:r>
      <w:proofErr w:type="spellEnd"/>
      <w:r w:rsidRPr="005C1215">
        <w:rPr>
          <w:rFonts w:cs="Arial"/>
          <w:szCs w:val="22"/>
          <w:lang w:val="ru-RU"/>
        </w:rPr>
        <w:t>.; Страховая сумма устанавливается в соответствии с первоначальным графиком платежей, Страховая сумма равна 100% задолженности Застрахованного лица по кредитному договору, но не более Страховой суммы на дату заключения Договора страхования</w:t>
      </w:r>
    </w:p>
    <w:p w:rsidR="00E8162C" w:rsidRPr="005C1215" w:rsidRDefault="00E8162C" w:rsidP="00E816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/>
        <w:ind w:left="357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Условия страхования жизни, относящиеся к сроку и периоду действия должны удовлетворять следующим требованиям:</w:t>
      </w:r>
    </w:p>
    <w:p w:rsidR="00E8162C" w:rsidRPr="005C1215" w:rsidRDefault="00E8162C" w:rsidP="00E816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Договор страхования должен быть заключен и должен начать своё действие не позднее даты заключения Кредитного договора.</w:t>
      </w:r>
    </w:p>
    <w:p w:rsidR="00E8162C" w:rsidRPr="005C1215" w:rsidRDefault="00E8162C" w:rsidP="00E816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cs="Arial"/>
          <w:szCs w:val="22"/>
          <w:lang w:val="ru-RU"/>
        </w:rPr>
      </w:pPr>
      <w:r>
        <w:rPr>
          <w:rFonts w:cs="Arial"/>
          <w:szCs w:val="22"/>
          <w:lang w:val="ru-RU"/>
        </w:rPr>
        <w:t>С</w:t>
      </w:r>
      <w:r w:rsidRPr="005C1215">
        <w:rPr>
          <w:rFonts w:cs="Arial"/>
          <w:szCs w:val="22"/>
          <w:lang w:val="ru-RU"/>
        </w:rPr>
        <w:t>траховани</w:t>
      </w:r>
      <w:r>
        <w:rPr>
          <w:rFonts w:cs="Arial"/>
          <w:szCs w:val="22"/>
          <w:lang w:val="ru-RU"/>
        </w:rPr>
        <w:t xml:space="preserve">е должно оставаться действующим в течение </w:t>
      </w:r>
      <w:r w:rsidRPr="005C1215">
        <w:rPr>
          <w:rFonts w:cs="Arial"/>
          <w:szCs w:val="22"/>
          <w:lang w:val="ru-RU"/>
        </w:rPr>
        <w:t>срок</w:t>
      </w:r>
      <w:r>
        <w:rPr>
          <w:rFonts w:cs="Arial"/>
          <w:szCs w:val="22"/>
          <w:lang w:val="ru-RU"/>
        </w:rPr>
        <w:t>а</w:t>
      </w:r>
      <w:r w:rsidRPr="005C1215">
        <w:rPr>
          <w:rFonts w:cs="Arial"/>
          <w:szCs w:val="22"/>
          <w:lang w:val="ru-RU"/>
        </w:rPr>
        <w:t xml:space="preserve"> Кредитного договора;</w:t>
      </w:r>
    </w:p>
    <w:p w:rsidR="00E8162C" w:rsidRPr="005C1215" w:rsidRDefault="00E8162C" w:rsidP="00E8162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00"/>
        <w:ind w:left="357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Требования к оформлению Договора страхования жизни. В Договоре страхования жизни (Полисе) должна быть определена следующая существенная информация:</w:t>
      </w:r>
    </w:p>
    <w:p w:rsidR="00E8162C" w:rsidRPr="005C1215" w:rsidRDefault="00E8162C" w:rsidP="00E816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/>
        <w:ind w:left="1281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фамилия, имя и отчество Страхователя;</w:t>
      </w:r>
    </w:p>
    <w:p w:rsidR="00E8162C" w:rsidRPr="005C1215" w:rsidRDefault="00E8162C" w:rsidP="00E816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/>
        <w:ind w:left="1281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паспортные данные Страхователя (если применимо);</w:t>
      </w:r>
    </w:p>
    <w:p w:rsidR="00E8162C" w:rsidRPr="005C1215" w:rsidRDefault="00E8162C" w:rsidP="00E816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/>
        <w:ind w:left="1281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перечень застрахованных рисков;</w:t>
      </w:r>
    </w:p>
    <w:p w:rsidR="00E8162C" w:rsidRPr="005C1215" w:rsidRDefault="00E8162C" w:rsidP="00E816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/>
        <w:ind w:left="1281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размер страховой премии;</w:t>
      </w:r>
    </w:p>
    <w:p w:rsidR="00E8162C" w:rsidRPr="005C1215" w:rsidRDefault="00E8162C" w:rsidP="00E816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/>
        <w:ind w:left="1281" w:hanging="357"/>
        <w:rPr>
          <w:rFonts w:cs="Arial"/>
          <w:szCs w:val="22"/>
          <w:lang w:val="ru-RU"/>
        </w:rPr>
      </w:pPr>
      <w:r w:rsidRPr="005C1215">
        <w:rPr>
          <w:rFonts w:cs="Arial"/>
          <w:szCs w:val="22"/>
          <w:lang w:val="ru-RU"/>
        </w:rPr>
        <w:t>срок страхования и период действия Договора страхования;</w:t>
      </w:r>
    </w:p>
    <w:p w:rsidR="00E8162C" w:rsidRPr="005C1215" w:rsidRDefault="00E8162C" w:rsidP="00E8162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/>
        <w:ind w:left="1281" w:hanging="357"/>
        <w:rPr>
          <w:szCs w:val="22"/>
          <w:lang w:val="ru-RU"/>
        </w:rPr>
      </w:pPr>
      <w:r w:rsidRPr="005C1215">
        <w:rPr>
          <w:rFonts w:cs="Arial"/>
          <w:szCs w:val="22"/>
          <w:lang w:val="ru-RU"/>
        </w:rPr>
        <w:t>определение Выгодоприобретателя в соответствии с п. 4 настоящих Требований.</w:t>
      </w:r>
    </w:p>
    <w:p w:rsidR="00E32C01" w:rsidRDefault="005D4EC2"/>
    <w:sectPr w:rsidR="00E3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C2" w:rsidRDefault="005D4EC2" w:rsidP="00E8162C">
      <w:pPr>
        <w:spacing w:after="0" w:line="240" w:lineRule="auto"/>
      </w:pPr>
      <w:r>
        <w:separator/>
      </w:r>
    </w:p>
  </w:endnote>
  <w:endnote w:type="continuationSeparator" w:id="0">
    <w:p w:rsidR="005D4EC2" w:rsidRDefault="005D4EC2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C2" w:rsidRDefault="005D4EC2" w:rsidP="00E8162C">
      <w:pPr>
        <w:spacing w:after="0" w:line="240" w:lineRule="auto"/>
      </w:pPr>
      <w:r>
        <w:separator/>
      </w:r>
    </w:p>
  </w:footnote>
  <w:footnote w:type="continuationSeparator" w:id="0">
    <w:p w:rsidR="005D4EC2" w:rsidRDefault="005D4EC2" w:rsidP="00E8162C">
      <w:pPr>
        <w:spacing w:after="0" w:line="240" w:lineRule="auto"/>
      </w:pPr>
      <w:r>
        <w:continuationSeparator/>
      </w:r>
    </w:p>
  </w:footnote>
  <w:footnote w:id="1">
    <w:p w:rsidR="00E8162C" w:rsidRPr="00184B13" w:rsidRDefault="00E8162C" w:rsidP="00E8162C">
      <w:pPr>
        <w:pStyle w:val="FootnoteText"/>
        <w:spacing w:before="60"/>
      </w:pPr>
      <w:r w:rsidRPr="00184B13">
        <w:rPr>
          <w:rStyle w:val="FootnoteReference"/>
        </w:rPr>
        <w:footnoteRef/>
      </w:r>
      <w:r w:rsidRPr="00184B13">
        <w:t xml:space="preserve"> </w:t>
      </w:r>
      <w:r w:rsidRPr="00184B13">
        <w:rPr>
          <w:rFonts w:cs="Arial"/>
        </w:rPr>
        <w:t xml:space="preserve">Требования не применяются в отношении </w:t>
      </w:r>
      <w:r>
        <w:rPr>
          <w:rFonts w:cs="Arial"/>
        </w:rPr>
        <w:t>К</w:t>
      </w:r>
      <w:r w:rsidRPr="00184B13">
        <w:rPr>
          <w:rFonts w:cs="Arial"/>
        </w:rPr>
        <w:t>редитных договоров, заключ</w:t>
      </w:r>
      <w:r>
        <w:rPr>
          <w:rFonts w:cs="Arial"/>
        </w:rPr>
        <w:t xml:space="preserve">аемых </w:t>
      </w:r>
      <w:r w:rsidRPr="00184B13">
        <w:rPr>
          <w:rFonts w:cs="Arial"/>
        </w:rPr>
        <w:t xml:space="preserve">между Заемщиками и Банком по кредитным программам, не предусматривающим </w:t>
      </w:r>
      <w:r>
        <w:rPr>
          <w:rFonts w:cs="Arial"/>
        </w:rPr>
        <w:t>обязательного страхования</w:t>
      </w:r>
      <w:r w:rsidRPr="00184B13">
        <w:rPr>
          <w:rFonts w:cs="Arial"/>
        </w:rPr>
        <w:t xml:space="preserve"> </w:t>
      </w:r>
      <w:r>
        <w:rPr>
          <w:rFonts w:cs="Arial"/>
        </w:rPr>
        <w:t>жизни и здоровья</w:t>
      </w:r>
      <w:r w:rsidRPr="00184B13">
        <w:rPr>
          <w:rFonts w:cs="Arial"/>
        </w:rPr>
        <w:t>.</w:t>
      </w:r>
    </w:p>
  </w:footnote>
  <w:footnote w:id="2">
    <w:p w:rsidR="00E8162C" w:rsidRPr="00184B13" w:rsidRDefault="00E8162C" w:rsidP="00E8162C">
      <w:pPr>
        <w:pStyle w:val="FootnoteText"/>
        <w:spacing w:before="60"/>
      </w:pPr>
      <w:r w:rsidRPr="00184B13">
        <w:rPr>
          <w:rStyle w:val="FootnoteReference"/>
        </w:rPr>
        <w:footnoteRef/>
      </w:r>
      <w:r w:rsidRPr="00184B13">
        <w:t xml:space="preserve"> </w:t>
      </w:r>
      <w:r w:rsidRPr="00184B13">
        <w:rPr>
          <w:rFonts w:cs="Arial"/>
        </w:rPr>
        <w:t>Требованиям Банка к финансовой устойчивости страховой компании размещ</w:t>
      </w:r>
      <w:r>
        <w:rPr>
          <w:rFonts w:cs="Arial"/>
        </w:rPr>
        <w:t xml:space="preserve">аются отдельно </w:t>
      </w:r>
      <w:r w:rsidRPr="00184B13">
        <w:rPr>
          <w:rFonts w:cs="Arial"/>
        </w:rPr>
        <w:t xml:space="preserve">в телекоммуникационной сети «Интернет» на </w:t>
      </w:r>
      <w:proofErr w:type="spellStart"/>
      <w:r>
        <w:rPr>
          <w:rFonts w:cs="Arial"/>
        </w:rPr>
        <w:t>web</w:t>
      </w:r>
      <w:proofErr w:type="spellEnd"/>
      <w:r w:rsidRPr="00F02B6B">
        <w:rPr>
          <w:rFonts w:cs="Arial"/>
        </w:rPr>
        <w:t>-</w:t>
      </w:r>
      <w:r w:rsidRPr="00184B13">
        <w:rPr>
          <w:rFonts w:cs="Arial"/>
        </w:rPr>
        <w:t>сайте Банка.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E39"/>
    <w:multiLevelType w:val="hybridMultilevel"/>
    <w:tmpl w:val="75E0AD96"/>
    <w:lvl w:ilvl="0" w:tplc="041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471546AC"/>
    <w:multiLevelType w:val="hybridMultilevel"/>
    <w:tmpl w:val="11E6E4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5DA8574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B822FF"/>
    <w:multiLevelType w:val="hybridMultilevel"/>
    <w:tmpl w:val="10329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AC"/>
    <w:rsid w:val="005D4EC2"/>
    <w:rsid w:val="00783AAC"/>
    <w:rsid w:val="007D4C54"/>
    <w:rsid w:val="00A73376"/>
    <w:rsid w:val="00B71F6A"/>
    <w:rsid w:val="00E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3F72D"/>
  <w15:chartTrackingRefBased/>
  <w15:docId w15:val="{D51BDFEA-7C62-4BA8-8293-628E41FD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162C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caps/>
      <w:color w:val="008080"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62C"/>
    <w:rPr>
      <w:rFonts w:ascii="Arial Narrow" w:eastAsia="Times New Roman" w:hAnsi="Arial Narrow" w:cs="Times New Roman"/>
      <w:b/>
      <w:caps/>
      <w:color w:val="008080"/>
      <w:sz w:val="30"/>
      <w:szCs w:val="20"/>
      <w:lang w:val="en-US"/>
    </w:rPr>
  </w:style>
  <w:style w:type="paragraph" w:styleId="FootnoteText">
    <w:name w:val="footnote text"/>
    <w:basedOn w:val="Normal"/>
    <w:link w:val="FootnoteTextChar"/>
    <w:rsid w:val="00E81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E8162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FootnoteReference">
    <w:name w:val="footnote reference"/>
    <w:rsid w:val="00E8162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8162C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E8162C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Lyukshin</dc:creator>
  <cp:keywords/>
  <dc:description/>
  <cp:lastModifiedBy>Vladislav Lyukshin</cp:lastModifiedBy>
  <cp:revision>3</cp:revision>
  <dcterms:created xsi:type="dcterms:W3CDTF">2022-12-08T13:23:00Z</dcterms:created>
  <dcterms:modified xsi:type="dcterms:W3CDTF">2022-12-09T08:22:00Z</dcterms:modified>
</cp:coreProperties>
</file>